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835" w:rsidRPr="00016835" w:rsidRDefault="00016835" w:rsidP="00016835">
      <w:pPr>
        <w:jc w:val="both"/>
        <w:rPr>
          <w:rFonts w:ascii="Arial" w:hAnsi="Arial" w:cs="Arial"/>
          <w:sz w:val="28"/>
        </w:rPr>
      </w:pPr>
      <w:r w:rsidRPr="00016835">
        <w:rPr>
          <w:rFonts w:ascii="Arial" w:hAnsi="Arial" w:cs="Arial"/>
          <w:sz w:val="28"/>
        </w:rPr>
        <w:t>If you are planning to File an appeal before NCLT, then make sure that you are following the correct procedure as prescribed by Companies act 2013. In this article, we will discuss the process for filing of appeal before NCLT.</w:t>
      </w:r>
    </w:p>
    <w:p w:rsidR="00016835" w:rsidRPr="00016835" w:rsidRDefault="00016835" w:rsidP="00016835">
      <w:pPr>
        <w:jc w:val="both"/>
        <w:rPr>
          <w:rFonts w:ascii="Arial" w:hAnsi="Arial" w:cs="Arial"/>
          <w:sz w:val="28"/>
        </w:rPr>
      </w:pPr>
      <w:r w:rsidRPr="00016835">
        <w:rPr>
          <w:rFonts w:ascii="Arial" w:hAnsi="Arial" w:cs="Arial"/>
          <w:sz w:val="28"/>
        </w:rPr>
        <w:t>What needs to know about the process of filling an appeal before NCLT?</w:t>
      </w:r>
    </w:p>
    <w:p w:rsidR="00016835" w:rsidRPr="00016835" w:rsidRDefault="00016835" w:rsidP="00016835">
      <w:pPr>
        <w:jc w:val="both"/>
        <w:rPr>
          <w:rFonts w:ascii="Arial" w:hAnsi="Arial" w:cs="Arial"/>
          <w:sz w:val="28"/>
        </w:rPr>
      </w:pPr>
      <w:r w:rsidRPr="00016835">
        <w:rPr>
          <w:rFonts w:ascii="Arial" w:hAnsi="Arial" w:cs="Arial"/>
          <w:sz w:val="28"/>
        </w:rPr>
        <w:t>MCA has issued 3 notifications dated 01 June 2016 for setting up of National Company Law Tribunal (NCLT) and National Company Law Appellate Tribunal (NCLAT) as well as notifying various sections of the Companies Act 2013.</w:t>
      </w:r>
    </w:p>
    <w:p w:rsidR="00016835" w:rsidRPr="00016835" w:rsidRDefault="00016835" w:rsidP="00016835">
      <w:pPr>
        <w:jc w:val="both"/>
        <w:rPr>
          <w:rFonts w:ascii="Arial" w:hAnsi="Arial" w:cs="Arial"/>
          <w:sz w:val="28"/>
        </w:rPr>
      </w:pPr>
      <w:r w:rsidRPr="00016835">
        <w:rPr>
          <w:rFonts w:ascii="Arial" w:hAnsi="Arial" w:cs="Arial"/>
          <w:sz w:val="28"/>
        </w:rPr>
        <w:t>Now, in continuation of Constitution of NCLT and NCLAT, MCA has again come up with notifications notifying NCLT Rules and NCLAT Rules on 21st July 2016 providing inter alia process and method for filing petition, application or appeal. Following are the requisite points for consideration for filing a petition, appeal or application before NCLT as per NCLT Rules:</w:t>
      </w:r>
    </w:p>
    <w:p w:rsidR="00016835" w:rsidRPr="00016835" w:rsidRDefault="00016835" w:rsidP="00016835">
      <w:pPr>
        <w:jc w:val="both"/>
        <w:rPr>
          <w:rFonts w:ascii="Arial" w:hAnsi="Arial" w:cs="Arial"/>
          <w:sz w:val="28"/>
        </w:rPr>
      </w:pPr>
      <w:r w:rsidRPr="00016835">
        <w:rPr>
          <w:rFonts w:ascii="Arial" w:hAnsi="Arial" w:cs="Arial"/>
          <w:sz w:val="28"/>
        </w:rPr>
        <w:t>The document to be filed before NCLT shall be in English and if in any other language, it shall be accompanied by a copy of Translation in English.</w:t>
      </w:r>
    </w:p>
    <w:p w:rsidR="00016835" w:rsidRPr="00016835" w:rsidRDefault="00016835" w:rsidP="00016835">
      <w:pPr>
        <w:jc w:val="both"/>
        <w:rPr>
          <w:rFonts w:ascii="Arial" w:hAnsi="Arial" w:cs="Arial"/>
          <w:sz w:val="28"/>
        </w:rPr>
      </w:pPr>
      <w:r w:rsidRPr="00016835">
        <w:rPr>
          <w:rFonts w:ascii="Arial" w:hAnsi="Arial" w:cs="Arial"/>
          <w:sz w:val="28"/>
        </w:rPr>
        <w:t>It will be typewritten, printed in double space, on one side of a legal paper, with margins: Top 4 c.</w:t>
      </w:r>
      <w:proofErr w:type="gramStart"/>
      <w:r w:rsidRPr="00016835">
        <w:rPr>
          <w:rFonts w:ascii="Arial" w:hAnsi="Arial" w:cs="Arial"/>
          <w:sz w:val="28"/>
        </w:rPr>
        <w:t>m.Right</w:t>
      </w:r>
      <w:proofErr w:type="gramEnd"/>
      <w:r w:rsidRPr="00016835">
        <w:rPr>
          <w:rFonts w:ascii="Arial" w:hAnsi="Arial" w:cs="Arial"/>
          <w:sz w:val="28"/>
        </w:rPr>
        <w:t xml:space="preserve">-2.5 </w:t>
      </w:r>
      <w:proofErr w:type="spellStart"/>
      <w:r w:rsidRPr="00016835">
        <w:rPr>
          <w:rFonts w:ascii="Arial" w:hAnsi="Arial" w:cs="Arial"/>
          <w:sz w:val="28"/>
        </w:rPr>
        <w:t>c.m</w:t>
      </w:r>
      <w:proofErr w:type="spellEnd"/>
      <w:r w:rsidRPr="00016835">
        <w:rPr>
          <w:rFonts w:ascii="Arial" w:hAnsi="Arial" w:cs="Arial"/>
          <w:sz w:val="28"/>
        </w:rPr>
        <w:t>. and left-5c.m.</w:t>
      </w:r>
    </w:p>
    <w:p w:rsidR="00016835" w:rsidRPr="00016835" w:rsidRDefault="00016835" w:rsidP="00016835">
      <w:pPr>
        <w:jc w:val="both"/>
        <w:rPr>
          <w:rFonts w:ascii="Arial" w:hAnsi="Arial" w:cs="Arial"/>
          <w:sz w:val="28"/>
        </w:rPr>
      </w:pPr>
      <w:r w:rsidRPr="00016835">
        <w:rPr>
          <w:rFonts w:ascii="Arial" w:hAnsi="Arial" w:cs="Arial"/>
          <w:sz w:val="28"/>
        </w:rPr>
        <w:t>It shall be duly paginated, indexed and stitched together in paper book form.</w:t>
      </w:r>
    </w:p>
    <w:p w:rsidR="00016835" w:rsidRPr="00016835" w:rsidRDefault="00016835" w:rsidP="00016835">
      <w:pPr>
        <w:jc w:val="both"/>
        <w:rPr>
          <w:rFonts w:ascii="Arial" w:hAnsi="Arial" w:cs="Arial"/>
          <w:sz w:val="28"/>
        </w:rPr>
      </w:pPr>
      <w:r w:rsidRPr="00016835">
        <w:rPr>
          <w:rFonts w:ascii="Arial" w:hAnsi="Arial" w:cs="Arial"/>
          <w:sz w:val="28"/>
        </w:rPr>
        <w:t>Every petition, application, appeal or document shall be filed in Triplicate.</w:t>
      </w:r>
    </w:p>
    <w:p w:rsidR="00016835" w:rsidRPr="00016835" w:rsidRDefault="00016835" w:rsidP="00016835">
      <w:pPr>
        <w:jc w:val="both"/>
        <w:rPr>
          <w:rFonts w:ascii="Arial" w:hAnsi="Arial" w:cs="Arial"/>
          <w:sz w:val="28"/>
        </w:rPr>
      </w:pPr>
      <w:r w:rsidRPr="00016835">
        <w:rPr>
          <w:rFonts w:ascii="Arial" w:hAnsi="Arial" w:cs="Arial"/>
          <w:sz w:val="28"/>
        </w:rPr>
        <w:t>Each document filed will be accompanied by an index in triplicate containing their details and the amount of fee paid thereon.</w:t>
      </w:r>
    </w:p>
    <w:p w:rsidR="00016835" w:rsidRPr="00016835" w:rsidRDefault="00016835" w:rsidP="00016835">
      <w:pPr>
        <w:jc w:val="both"/>
        <w:rPr>
          <w:rFonts w:ascii="Arial" w:hAnsi="Arial" w:cs="Arial"/>
          <w:sz w:val="28"/>
        </w:rPr>
      </w:pPr>
      <w:r w:rsidRPr="00016835">
        <w:rPr>
          <w:rFonts w:ascii="Arial" w:hAnsi="Arial" w:cs="Arial"/>
          <w:sz w:val="28"/>
        </w:rPr>
        <w:t>Copy of petition, application or appeal shall also be filed with the opposite party.</w:t>
      </w:r>
    </w:p>
    <w:p w:rsidR="00016835" w:rsidRPr="00016835" w:rsidRDefault="00016835" w:rsidP="00016835">
      <w:pPr>
        <w:jc w:val="both"/>
        <w:rPr>
          <w:rFonts w:ascii="Arial" w:hAnsi="Arial" w:cs="Arial"/>
          <w:sz w:val="28"/>
        </w:rPr>
      </w:pPr>
      <w:r w:rsidRPr="00016835">
        <w:rPr>
          <w:rFonts w:ascii="Arial" w:hAnsi="Arial" w:cs="Arial"/>
          <w:sz w:val="28"/>
        </w:rPr>
        <w:t>Certified True Copy of Resolution for authorization to sign, verify and institute on behalf of the company shall also be enclosed.</w:t>
      </w:r>
    </w:p>
    <w:p w:rsidR="00016835" w:rsidRPr="00016835" w:rsidRDefault="00016835" w:rsidP="00016835">
      <w:pPr>
        <w:jc w:val="both"/>
        <w:rPr>
          <w:rFonts w:ascii="Arial" w:hAnsi="Arial" w:cs="Arial"/>
          <w:sz w:val="28"/>
        </w:rPr>
      </w:pPr>
      <w:r w:rsidRPr="00016835">
        <w:rPr>
          <w:rFonts w:ascii="Arial" w:hAnsi="Arial" w:cs="Arial"/>
          <w:sz w:val="28"/>
        </w:rPr>
        <w:t>Every petition, application or appeal shall be filed in Form No. NCLT.1 along with the attachment of Notice of admission in Form NCLT-2. 9. Title Heading for Proceeding shall be in Form No. NCLT.4.</w:t>
      </w:r>
    </w:p>
    <w:p w:rsidR="00016835" w:rsidRPr="00016835" w:rsidRDefault="00016835" w:rsidP="00016835">
      <w:pPr>
        <w:jc w:val="both"/>
        <w:rPr>
          <w:rFonts w:ascii="Arial" w:hAnsi="Arial" w:cs="Arial"/>
          <w:sz w:val="28"/>
        </w:rPr>
      </w:pPr>
      <w:r w:rsidRPr="00016835">
        <w:rPr>
          <w:rFonts w:ascii="Arial" w:hAnsi="Arial" w:cs="Arial"/>
          <w:sz w:val="28"/>
        </w:rPr>
        <w:t>Every petition or application shall be verified by an Affidavit in Form No. NCLT.6.</w:t>
      </w:r>
    </w:p>
    <w:p w:rsidR="00016835" w:rsidRPr="00016835" w:rsidRDefault="00016835" w:rsidP="00016835">
      <w:pPr>
        <w:jc w:val="both"/>
        <w:rPr>
          <w:rFonts w:ascii="Arial" w:hAnsi="Arial" w:cs="Arial"/>
          <w:sz w:val="28"/>
        </w:rPr>
      </w:pPr>
      <w:r w:rsidRPr="00016835">
        <w:rPr>
          <w:rFonts w:ascii="Arial" w:hAnsi="Arial" w:cs="Arial"/>
          <w:sz w:val="28"/>
        </w:rPr>
        <w:t>Notice of Motion shall be filed in Form No. NCLT.3.</w:t>
      </w:r>
    </w:p>
    <w:p w:rsidR="00016835" w:rsidRPr="00016835" w:rsidRDefault="00016835" w:rsidP="00016835">
      <w:pPr>
        <w:jc w:val="both"/>
        <w:rPr>
          <w:rFonts w:ascii="Arial" w:hAnsi="Arial" w:cs="Arial"/>
          <w:sz w:val="28"/>
        </w:rPr>
      </w:pPr>
      <w:r w:rsidRPr="00016835">
        <w:rPr>
          <w:rFonts w:ascii="Arial" w:hAnsi="Arial" w:cs="Arial"/>
          <w:sz w:val="28"/>
        </w:rPr>
        <w:lastRenderedPageBreak/>
        <w:t>Notice to the opposite Party shall be issued in Form No. NCLT.5</w:t>
      </w:r>
    </w:p>
    <w:p w:rsidR="00016835" w:rsidRPr="00016835" w:rsidRDefault="00016835" w:rsidP="00016835">
      <w:pPr>
        <w:jc w:val="both"/>
        <w:rPr>
          <w:rFonts w:ascii="Arial" w:hAnsi="Arial" w:cs="Arial"/>
          <w:sz w:val="28"/>
        </w:rPr>
      </w:pPr>
      <w:r w:rsidRPr="00016835">
        <w:rPr>
          <w:rFonts w:ascii="Arial" w:hAnsi="Arial" w:cs="Arial"/>
          <w:sz w:val="28"/>
        </w:rPr>
        <w:t>All the Petition or application is required to be advertised which will be advertised in Form No. NCLT-3A in vernacular language and in English Newspaper. Advertisement if published shall also be placed on the website of the company if any.</w:t>
      </w:r>
    </w:p>
    <w:p w:rsidR="00016835" w:rsidRPr="00016835" w:rsidRDefault="00016835" w:rsidP="00016835">
      <w:pPr>
        <w:jc w:val="both"/>
        <w:rPr>
          <w:rFonts w:ascii="Arial" w:hAnsi="Arial" w:cs="Arial"/>
          <w:sz w:val="28"/>
        </w:rPr>
      </w:pPr>
      <w:r w:rsidRPr="00016835">
        <w:rPr>
          <w:rFonts w:ascii="Arial" w:hAnsi="Arial" w:cs="Arial"/>
          <w:sz w:val="28"/>
        </w:rPr>
        <w:t xml:space="preserve">Every Individual requires appearing either in person or through authorized Representative, who shall make an appearance through filing </w:t>
      </w:r>
      <w:proofErr w:type="spellStart"/>
      <w:r w:rsidRPr="00016835">
        <w:rPr>
          <w:rFonts w:ascii="Arial" w:hAnsi="Arial" w:cs="Arial"/>
          <w:sz w:val="28"/>
        </w:rPr>
        <w:t>Vakalatnama</w:t>
      </w:r>
      <w:proofErr w:type="spellEnd"/>
      <w:r w:rsidRPr="00016835">
        <w:rPr>
          <w:rFonts w:ascii="Arial" w:hAnsi="Arial" w:cs="Arial"/>
          <w:sz w:val="28"/>
        </w:rPr>
        <w:t xml:space="preserve"> or Memorandum of Appearance in Form No. NCLT.12 representing the respective parties.</w:t>
      </w:r>
    </w:p>
    <w:p w:rsidR="00016835" w:rsidRPr="00016835" w:rsidRDefault="00016835" w:rsidP="00016835">
      <w:pPr>
        <w:jc w:val="both"/>
        <w:rPr>
          <w:rFonts w:ascii="Arial" w:hAnsi="Arial" w:cs="Arial"/>
          <w:sz w:val="28"/>
        </w:rPr>
      </w:pPr>
      <w:r w:rsidRPr="00016835">
        <w:rPr>
          <w:rFonts w:ascii="Arial" w:hAnsi="Arial" w:cs="Arial"/>
          <w:sz w:val="28"/>
        </w:rPr>
        <w:t xml:space="preserve">No intern employed by </w:t>
      </w:r>
      <w:proofErr w:type="spellStart"/>
      <w:r w:rsidRPr="00016835">
        <w:rPr>
          <w:rFonts w:ascii="Arial" w:hAnsi="Arial" w:cs="Arial"/>
          <w:sz w:val="28"/>
        </w:rPr>
        <w:t>Authorised</w:t>
      </w:r>
      <w:proofErr w:type="spellEnd"/>
      <w:r w:rsidRPr="00016835">
        <w:rPr>
          <w:rFonts w:ascii="Arial" w:hAnsi="Arial" w:cs="Arial"/>
          <w:sz w:val="28"/>
        </w:rPr>
        <w:t xml:space="preserve"> Representative shall appear, access to the records or obtain copies of the order unless his name is entered in Register of intern maintained by a bench. An application shall be made by </w:t>
      </w:r>
      <w:proofErr w:type="spellStart"/>
      <w:r w:rsidRPr="00016835">
        <w:rPr>
          <w:rFonts w:ascii="Arial" w:hAnsi="Arial" w:cs="Arial"/>
          <w:sz w:val="28"/>
        </w:rPr>
        <w:t>Authorised</w:t>
      </w:r>
      <w:proofErr w:type="spellEnd"/>
      <w:r w:rsidRPr="00016835">
        <w:rPr>
          <w:rFonts w:ascii="Arial" w:hAnsi="Arial" w:cs="Arial"/>
          <w:sz w:val="28"/>
        </w:rPr>
        <w:t xml:space="preserve"> Representative in Form NCLT.10 for registering the intern.</w:t>
      </w:r>
    </w:p>
    <w:p w:rsidR="00016835" w:rsidRPr="00016835" w:rsidRDefault="00016835" w:rsidP="00016835">
      <w:pPr>
        <w:jc w:val="both"/>
        <w:rPr>
          <w:rFonts w:ascii="Arial" w:hAnsi="Arial" w:cs="Arial"/>
          <w:sz w:val="28"/>
        </w:rPr>
      </w:pPr>
      <w:r w:rsidRPr="00016835">
        <w:rPr>
          <w:rFonts w:ascii="Arial" w:hAnsi="Arial" w:cs="Arial"/>
          <w:sz w:val="28"/>
        </w:rPr>
        <w:t>Special Procedure has also been specified in Rule 66 to Rule 88 specifying the additional requirement for the applicant to be followed while filing an application under various provisions of Companies Act, 2013. Some of the additional requirements which include accompanying documents as mentioned in Annexure-B (which includes a copy of Memorandum and Articles, copy of balance sheet, Resolution, Bank Draft for filing fees etc.), a content of an application, Advertisement of application etc.</w:t>
      </w:r>
    </w:p>
    <w:p w:rsidR="00016835" w:rsidRPr="00016835" w:rsidRDefault="00016835" w:rsidP="00016835">
      <w:pPr>
        <w:jc w:val="both"/>
        <w:rPr>
          <w:rFonts w:ascii="Arial" w:hAnsi="Arial" w:cs="Arial"/>
          <w:sz w:val="28"/>
        </w:rPr>
      </w:pPr>
      <w:r w:rsidRPr="00016835">
        <w:rPr>
          <w:rFonts w:ascii="Arial" w:hAnsi="Arial" w:cs="Arial"/>
          <w:sz w:val="28"/>
        </w:rPr>
        <w:t>An application for rectification of Final order shall be filed within 2 years in Form No. NCLT.9.</w:t>
      </w:r>
    </w:p>
    <w:p w:rsidR="00016835" w:rsidRDefault="00016835" w:rsidP="00016835">
      <w:pPr>
        <w:jc w:val="both"/>
        <w:rPr>
          <w:rFonts w:ascii="Arial" w:hAnsi="Arial" w:cs="Arial"/>
          <w:sz w:val="28"/>
        </w:rPr>
      </w:pPr>
      <w:r w:rsidRPr="00016835">
        <w:rPr>
          <w:rFonts w:ascii="Arial" w:hAnsi="Arial" w:cs="Arial"/>
          <w:sz w:val="28"/>
        </w:rPr>
        <w:t xml:space="preserve">The certified copy of the order of NCLT shall be filed with ROC in Form NO. INC-28 along with the fees </w:t>
      </w:r>
      <w:proofErr w:type="gramStart"/>
      <w:r w:rsidRPr="00016835">
        <w:rPr>
          <w:rFonts w:ascii="Arial" w:hAnsi="Arial" w:cs="Arial"/>
          <w:sz w:val="28"/>
        </w:rPr>
        <w:t>of ₹ 500</w:t>
      </w:r>
      <w:proofErr w:type="gramEnd"/>
      <w:r w:rsidRPr="00016835">
        <w:rPr>
          <w:rFonts w:ascii="Arial" w:hAnsi="Arial" w:cs="Arial"/>
          <w:sz w:val="28"/>
        </w:rPr>
        <w:t>/- within 30 days.</w:t>
      </w:r>
    </w:p>
    <w:p w:rsidR="00016835" w:rsidRDefault="00016835" w:rsidP="00016835">
      <w:pPr>
        <w:jc w:val="both"/>
        <w:rPr>
          <w:rFonts w:ascii="Arial" w:hAnsi="Arial" w:cs="Arial"/>
          <w:sz w:val="28"/>
        </w:rPr>
      </w:pPr>
    </w:p>
    <w:p w:rsidR="00016835" w:rsidRDefault="00016835" w:rsidP="00016835">
      <w:pPr>
        <w:jc w:val="both"/>
        <w:rPr>
          <w:rFonts w:ascii="Arial" w:hAnsi="Arial" w:cs="Arial"/>
          <w:sz w:val="28"/>
        </w:rPr>
      </w:pPr>
    </w:p>
    <w:p w:rsidR="00016835" w:rsidRDefault="00016835" w:rsidP="00016835">
      <w:pPr>
        <w:pStyle w:val="Heading1"/>
        <w:shd w:val="clear" w:color="auto" w:fill="FFFFFF"/>
        <w:spacing w:before="0"/>
        <w:rPr>
          <w:rFonts w:ascii="Arial" w:hAnsi="Arial" w:cs="Arial"/>
          <w:color w:val="212529"/>
          <w:sz w:val="42"/>
          <w:szCs w:val="42"/>
        </w:rPr>
      </w:pPr>
      <w:r>
        <w:rPr>
          <w:rFonts w:ascii="Arial" w:hAnsi="Arial" w:cs="Arial"/>
          <w:color w:val="212529"/>
          <w:sz w:val="42"/>
          <w:szCs w:val="42"/>
        </w:rPr>
        <w:t>National Company Law Tribunal</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 xml:space="preserve">Ever since the boom of industrialization, the government of India has come up with multiple laws to cope with it. For resolving the issues related to corporate disputes of civil nature under The Companies Act, 2013 the government on the recommendation of Justice </w:t>
      </w:r>
      <w:proofErr w:type="spellStart"/>
      <w:r>
        <w:rPr>
          <w:rFonts w:ascii="Arial" w:hAnsi="Arial" w:cs="Arial"/>
          <w:color w:val="000000"/>
          <w:sz w:val="26"/>
          <w:szCs w:val="26"/>
        </w:rPr>
        <w:t>Eradi</w:t>
      </w:r>
      <w:proofErr w:type="spellEnd"/>
      <w:r>
        <w:rPr>
          <w:rFonts w:ascii="Arial" w:hAnsi="Arial" w:cs="Arial"/>
          <w:color w:val="000000"/>
          <w:sz w:val="26"/>
          <w:szCs w:val="26"/>
        </w:rPr>
        <w:t xml:space="preserve"> Committee, established a quasi-judicial adjudicating body, the National Company Law Tribunal on June 1st, 2016. It was set up under section 408 of the Companies Act, 2013.</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lastRenderedPageBreak/>
        <w:t>It acts like the adjudicating authority for matters related to the insolvency resolution of companies and limited liability partnerships under the Insolvency and Bankruptcy Code, 2016.</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National Company Appellate Tribunal</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The National Company Appellate Tribunal is an authority which deals with the appeals arising out of the decision of the NCLT. It is basically an intermediate appellate authority for rectifying the errors of the NCLT. The decision of the Appellate Tribunal can further be challenged before the Supreme Court. Any party who is dissatisfied with the order of the NCLT can appeal before The Appellate Tribunal. The Appellate Tribunal will further review the decision of the Tribunal and set aside/modify or affirm it.</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Difference Between NCLT </w:t>
      </w:r>
      <w:proofErr w:type="gramStart"/>
      <w:r>
        <w:rPr>
          <w:rFonts w:ascii="Arial" w:hAnsi="Arial" w:cs="Arial"/>
          <w:color w:val="000000"/>
          <w:sz w:val="33"/>
          <w:szCs w:val="33"/>
        </w:rPr>
        <w:t>And</w:t>
      </w:r>
      <w:proofErr w:type="gramEnd"/>
      <w:r>
        <w:rPr>
          <w:rFonts w:ascii="Arial" w:hAnsi="Arial" w:cs="Arial"/>
          <w:color w:val="000000"/>
          <w:sz w:val="33"/>
          <w:szCs w:val="33"/>
        </w:rPr>
        <w:t xml:space="preserve"> NCLAT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20"/>
        <w:gridCol w:w="5640"/>
      </w:tblGrid>
      <w:tr w:rsidR="00016835" w:rsidTr="00016835">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NCLT</w:t>
            </w:r>
          </w:p>
        </w:tc>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NCLAT</w:t>
            </w:r>
          </w:p>
        </w:tc>
      </w:tr>
      <w:tr w:rsidR="00016835" w:rsidTr="00016835">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Primary Jurisdiction</w:t>
            </w:r>
          </w:p>
        </w:tc>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Appellate Jurisdiction</w:t>
            </w:r>
          </w:p>
        </w:tc>
      </w:tr>
      <w:tr w:rsidR="00016835" w:rsidTr="00016835">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Evidences and witnesses presented before NCLT.</w:t>
            </w:r>
          </w:p>
        </w:tc>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Reviews the decision of NCLT</w:t>
            </w:r>
          </w:p>
        </w:tc>
      </w:tr>
      <w:tr w:rsidR="00016835" w:rsidTr="00016835">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NCLT does fact-finding and evidence collection.</w:t>
            </w:r>
          </w:p>
        </w:tc>
        <w:tc>
          <w:tcPr>
            <w:tcW w:w="0" w:type="auto"/>
            <w:shd w:val="clear" w:color="auto" w:fill="FFFFFF"/>
            <w:vAlign w:val="center"/>
            <w:hideMark/>
          </w:tcPr>
          <w:p w:rsidR="00016835" w:rsidRDefault="00016835">
            <w:pPr>
              <w:pStyle w:val="NormalWeb"/>
              <w:spacing w:before="0" w:beforeAutospacing="0"/>
              <w:rPr>
                <w:rFonts w:ascii="Arial" w:hAnsi="Arial" w:cs="Arial"/>
                <w:color w:val="000000"/>
                <w:sz w:val="26"/>
                <w:szCs w:val="26"/>
              </w:rPr>
            </w:pPr>
            <w:r>
              <w:rPr>
                <w:rFonts w:ascii="Arial" w:hAnsi="Arial" w:cs="Arial"/>
                <w:color w:val="000000"/>
                <w:sz w:val="26"/>
                <w:szCs w:val="26"/>
              </w:rPr>
              <w:t>The NCLAT decides a case based on already collected evidences and witnesses.</w:t>
            </w:r>
          </w:p>
        </w:tc>
      </w:tr>
    </w:tbl>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Why Is NCLT Constituted?</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The National Company Law Tribunal constituted under Section 408 of The Companies Act, 2013 for the following purpose</w:t>
      </w:r>
    </w:p>
    <w:p w:rsidR="00016835" w:rsidRDefault="00016835" w:rsidP="00016835">
      <w:pPr>
        <w:numPr>
          <w:ilvl w:val="0"/>
          <w:numId w:val="2"/>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Disposing off the proceedings which are pending before the Company Law Board (CLB).</w:t>
      </w:r>
    </w:p>
    <w:p w:rsidR="00016835" w:rsidRDefault="00016835" w:rsidP="00016835">
      <w:pPr>
        <w:numPr>
          <w:ilvl w:val="0"/>
          <w:numId w:val="2"/>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To supervise the matters which are pertaining to the winding up, restructuring, compromise, etc. which are vested with the High Court.</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The formation of The NCLT has helped to cater to the needs of the corporate sector. Further, it also aided in the promotion of interests of banks, financial sector institutions along with the stakeholders.</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Scope </w:t>
      </w:r>
      <w:proofErr w:type="gramStart"/>
      <w:r>
        <w:rPr>
          <w:rFonts w:ascii="Arial" w:hAnsi="Arial" w:cs="Arial"/>
          <w:color w:val="000000"/>
          <w:sz w:val="33"/>
          <w:szCs w:val="33"/>
        </w:rPr>
        <w:t>Of</w:t>
      </w:r>
      <w:proofErr w:type="gramEnd"/>
      <w:r>
        <w:rPr>
          <w:rFonts w:ascii="Arial" w:hAnsi="Arial" w:cs="Arial"/>
          <w:color w:val="000000"/>
          <w:sz w:val="33"/>
          <w:szCs w:val="33"/>
        </w:rPr>
        <w:t xml:space="preserve"> The National Company Law Tribunal</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 xml:space="preserve">The NCLT amalgamates the jurisdiction of the Company Law Board, the Board for Industrial and Financial Reconstruction (BIFR), and The Appellate Authority for Industrial and Financial Reconstruction (AAIFR) and winding up or restructuring powers which were vested in the High Court. Hence, the Tribunal </w:t>
      </w:r>
      <w:r>
        <w:rPr>
          <w:rFonts w:ascii="Arial" w:hAnsi="Arial" w:cs="Arial"/>
          <w:color w:val="000000"/>
          <w:sz w:val="26"/>
          <w:szCs w:val="26"/>
        </w:rPr>
        <w:lastRenderedPageBreak/>
        <w:t>will have the powers to govern all the companies established under the Companies Act, 2013 in India.</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Benefits </w:t>
      </w:r>
      <w:proofErr w:type="gramStart"/>
      <w:r>
        <w:rPr>
          <w:rFonts w:ascii="Arial" w:hAnsi="Arial" w:cs="Arial"/>
          <w:color w:val="000000"/>
          <w:sz w:val="33"/>
          <w:szCs w:val="33"/>
        </w:rPr>
        <w:t>Of</w:t>
      </w:r>
      <w:proofErr w:type="gramEnd"/>
      <w:r>
        <w:rPr>
          <w:rFonts w:ascii="Arial" w:hAnsi="Arial" w:cs="Arial"/>
          <w:color w:val="000000"/>
          <w:sz w:val="33"/>
          <w:szCs w:val="33"/>
        </w:rPr>
        <w:t xml:space="preserve"> The National Company Law Tribunal</w:t>
      </w:r>
    </w:p>
    <w:p w:rsidR="00016835" w:rsidRDefault="00016835" w:rsidP="00016835">
      <w:pPr>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NCLT is an only specialized court for companies in India, hence it has exclusive jurisdiction.</w:t>
      </w:r>
    </w:p>
    <w:p w:rsidR="00016835" w:rsidRDefault="00016835" w:rsidP="00016835">
      <w:pPr>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It will reduce the multiplicity of litigation which was earlier present.</w:t>
      </w:r>
    </w:p>
    <w:p w:rsidR="00016835" w:rsidRDefault="00016835" w:rsidP="00016835">
      <w:pPr>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It has multiple branches which ease the procedure of registration of cases.</w:t>
      </w:r>
    </w:p>
    <w:p w:rsidR="00016835" w:rsidRDefault="00016835" w:rsidP="00016835">
      <w:pPr>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The Tribunal consists of both technical and judicial </w:t>
      </w:r>
      <w:proofErr w:type="gramStart"/>
      <w:r>
        <w:rPr>
          <w:rFonts w:ascii="Arial" w:hAnsi="Arial" w:cs="Arial"/>
          <w:color w:val="333745"/>
          <w:sz w:val="26"/>
          <w:szCs w:val="26"/>
        </w:rPr>
        <w:t>member</w:t>
      </w:r>
      <w:proofErr w:type="gramEnd"/>
      <w:r>
        <w:rPr>
          <w:rFonts w:ascii="Arial" w:hAnsi="Arial" w:cs="Arial"/>
          <w:color w:val="333745"/>
          <w:sz w:val="26"/>
          <w:szCs w:val="26"/>
        </w:rPr>
        <w:t>. Which aides in the decision making.</w:t>
      </w:r>
    </w:p>
    <w:p w:rsidR="00016835" w:rsidRDefault="00016835" w:rsidP="00016835">
      <w:pPr>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The NCLT has reduced the time duration for winding up companies.</w:t>
      </w:r>
    </w:p>
    <w:p w:rsidR="00016835" w:rsidRDefault="00016835" w:rsidP="00016835">
      <w:pPr>
        <w:numPr>
          <w:ilvl w:val="0"/>
          <w:numId w:val="3"/>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Speedy disposal of cases will decrease the number of cases.</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Special Powers </w:t>
      </w:r>
      <w:proofErr w:type="gramStart"/>
      <w:r>
        <w:rPr>
          <w:rFonts w:ascii="Arial" w:hAnsi="Arial" w:cs="Arial"/>
          <w:color w:val="000000"/>
          <w:sz w:val="33"/>
          <w:szCs w:val="33"/>
        </w:rPr>
        <w:t>Of</w:t>
      </w:r>
      <w:proofErr w:type="gramEnd"/>
      <w:r>
        <w:rPr>
          <w:rFonts w:ascii="Arial" w:hAnsi="Arial" w:cs="Arial"/>
          <w:color w:val="000000"/>
          <w:sz w:val="33"/>
          <w:szCs w:val="33"/>
        </w:rPr>
        <w:t xml:space="preserve"> NCLT</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Under Notification dated 1st June 2016, the government transferred all the powers of the Company Law Board to the National Company Law Board. The NCLT has discretionary power to look into cases pending before the CLB from any stage.</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Powers </w:t>
      </w:r>
      <w:proofErr w:type="gramStart"/>
      <w:r>
        <w:rPr>
          <w:rFonts w:ascii="Arial" w:hAnsi="Arial" w:cs="Arial"/>
          <w:color w:val="000000"/>
          <w:sz w:val="33"/>
          <w:szCs w:val="33"/>
        </w:rPr>
        <w:t>Of</w:t>
      </w:r>
      <w:proofErr w:type="gramEnd"/>
      <w:r>
        <w:rPr>
          <w:rFonts w:ascii="Arial" w:hAnsi="Arial" w:cs="Arial"/>
          <w:color w:val="000000"/>
          <w:sz w:val="33"/>
          <w:szCs w:val="33"/>
        </w:rPr>
        <w:t xml:space="preserve"> The NCLT</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Registration of Companies</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Issue related to transfer of shares</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Power to investigate</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Power to freeze assets of the company</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Conversion of Public Limited Company to Private Limited Company</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Corporate Debt Restructuring (CDR)</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Deposits</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Safeguarding interests of Shareholders</w:t>
      </w:r>
    </w:p>
    <w:p w:rsidR="00016835" w:rsidRDefault="00016835" w:rsidP="00016835">
      <w:pPr>
        <w:numPr>
          <w:ilvl w:val="0"/>
          <w:numId w:val="4"/>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Compounding of Offence</w:t>
      </w:r>
    </w:p>
    <w:p w:rsidR="00016835" w:rsidRDefault="00016835" w:rsidP="00016835">
      <w:pPr>
        <w:pStyle w:val="Heading3"/>
        <w:shd w:val="clear" w:color="auto" w:fill="FFFFFF"/>
        <w:spacing w:before="0"/>
        <w:rPr>
          <w:rFonts w:ascii="Arial" w:hAnsi="Arial" w:cs="Arial"/>
          <w:color w:val="212529"/>
          <w:sz w:val="32"/>
          <w:szCs w:val="32"/>
        </w:rPr>
      </w:pPr>
      <w:r>
        <w:rPr>
          <w:rFonts w:ascii="Arial" w:hAnsi="Arial" w:cs="Arial"/>
          <w:color w:val="212529"/>
          <w:sz w:val="32"/>
          <w:szCs w:val="32"/>
        </w:rPr>
        <w:t xml:space="preserve">The Procedure </w:t>
      </w:r>
      <w:proofErr w:type="gramStart"/>
      <w:r>
        <w:rPr>
          <w:rFonts w:ascii="Arial" w:hAnsi="Arial" w:cs="Arial"/>
          <w:color w:val="212529"/>
          <w:sz w:val="32"/>
          <w:szCs w:val="32"/>
        </w:rPr>
        <w:t>For</w:t>
      </w:r>
      <w:proofErr w:type="gramEnd"/>
      <w:r>
        <w:rPr>
          <w:rFonts w:ascii="Arial" w:hAnsi="Arial" w:cs="Arial"/>
          <w:color w:val="212529"/>
          <w:sz w:val="32"/>
          <w:szCs w:val="32"/>
        </w:rPr>
        <w:t xml:space="preserve"> Filing An Appeal In The National Company Law Tribunal</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The Ministry of Corporate Affairs in continuation with the establishment of the NCLT and the NCLAT, have come with NCLT Rules and NCLAT Rules in 2016. It provides the procedure for filing an appeal before both the Tribunals. Following are the requisite points for filing the appeal before The National Company Law Tribunal</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lastRenderedPageBreak/>
        <w:t>The documents filed should be in English. If it is in another language, a copy of the Translation in English needs to be filed.</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The documents should be typewritten and printed in double space on legal paper at one side with margins: Top 4 cm, Right- 2.5 cm and left 5 cm.</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The document should be duly paginated and indexed together in paper book form.</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Every appeal shall be filed in Triplicate.</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Each document should have an index in triplicate stating the details and the fee paid.</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The copy of the appeal should be filed with the opposing party.</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Certified True Copy of Resolution for authorization to sign, verify and institute on behalf of the company shall also be enclosed.</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An appeal needs to be filed in Form NCLT. 1 accompanied with the notice of admission in Form NCLT-2.</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The Tile and the Heading for the Proceeding shall be in Form No. NCLT.4.</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Under Form No. NCLT.6. the petition or the application needs to be verified by the affidavit.</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The notion of Motion needs to be filed under Form </w:t>
      </w:r>
      <w:proofErr w:type="gramStart"/>
      <w:r>
        <w:rPr>
          <w:rFonts w:ascii="Arial" w:hAnsi="Arial" w:cs="Arial"/>
          <w:color w:val="333745"/>
          <w:sz w:val="26"/>
          <w:szCs w:val="26"/>
        </w:rPr>
        <w:t>No.NCLT</w:t>
      </w:r>
      <w:proofErr w:type="gramEnd"/>
      <w:r>
        <w:rPr>
          <w:rFonts w:ascii="Arial" w:hAnsi="Arial" w:cs="Arial"/>
          <w:color w:val="333745"/>
          <w:sz w:val="26"/>
          <w:szCs w:val="26"/>
        </w:rPr>
        <w:t>.3.</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Notice to the opposite party shall be issued in Form No. NCLT.5.</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An advertisement in reference to the petition or application needs to be made in Form No. NCLT.3A in a vernacular and English newspaper. If the advertisement is placed, one needs to place it on the company website.</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An individual is required to appear either in person or an authorized representative by filing a memorandum of appearance/</w:t>
      </w:r>
      <w:proofErr w:type="spellStart"/>
      <w:r>
        <w:rPr>
          <w:rFonts w:ascii="Arial" w:hAnsi="Arial" w:cs="Arial"/>
          <w:color w:val="333745"/>
          <w:sz w:val="26"/>
          <w:szCs w:val="26"/>
        </w:rPr>
        <w:t>Vakalatnama</w:t>
      </w:r>
      <w:proofErr w:type="spellEnd"/>
      <w:r>
        <w:rPr>
          <w:rFonts w:ascii="Arial" w:hAnsi="Arial" w:cs="Arial"/>
          <w:color w:val="333745"/>
          <w:sz w:val="26"/>
          <w:szCs w:val="26"/>
        </w:rPr>
        <w:t xml:space="preserve"> in Form No. NCLT.12.</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The interns employed by the authorized representative don’t have the power appear before the Tribunal until and unless his name is included in the Register of Intern. The application for registering an intern should be made in Form NCLT.10 by the authorized representative.</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Rule 66 to 88 provide a special procedure to be followed in certain conditions while filing an application. These include accompanying documents as mentioned in </w:t>
      </w:r>
      <w:proofErr w:type="gramStart"/>
      <w:r>
        <w:rPr>
          <w:rFonts w:ascii="Arial" w:hAnsi="Arial" w:cs="Arial"/>
          <w:color w:val="333745"/>
          <w:sz w:val="26"/>
          <w:szCs w:val="26"/>
        </w:rPr>
        <w:t>annexure</w:t>
      </w:r>
      <w:proofErr w:type="gramEnd"/>
      <w:r>
        <w:rPr>
          <w:rFonts w:ascii="Arial" w:hAnsi="Arial" w:cs="Arial"/>
          <w:color w:val="333745"/>
          <w:sz w:val="26"/>
          <w:szCs w:val="26"/>
        </w:rPr>
        <w:t>-B, application contents and advertisement of the application.</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The application for rectification of the final order needs to be filed under Form </w:t>
      </w:r>
      <w:proofErr w:type="gramStart"/>
      <w:r>
        <w:rPr>
          <w:rFonts w:ascii="Arial" w:hAnsi="Arial" w:cs="Arial"/>
          <w:color w:val="333745"/>
          <w:sz w:val="26"/>
          <w:szCs w:val="26"/>
        </w:rPr>
        <w:t>No.NCLT</w:t>
      </w:r>
      <w:proofErr w:type="gramEnd"/>
      <w:r>
        <w:rPr>
          <w:rFonts w:ascii="Arial" w:hAnsi="Arial" w:cs="Arial"/>
          <w:color w:val="333745"/>
          <w:sz w:val="26"/>
          <w:szCs w:val="26"/>
        </w:rPr>
        <w:t>.9 within two years.</w:t>
      </w:r>
    </w:p>
    <w:p w:rsidR="00016835" w:rsidRDefault="00016835" w:rsidP="00016835">
      <w:pPr>
        <w:numPr>
          <w:ilvl w:val="0"/>
          <w:numId w:val="5"/>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The certified copy of the NCLT order shall be filed with the ROC in Form No. INC-28 accompanied with fees of </w:t>
      </w:r>
      <w:proofErr w:type="spellStart"/>
      <w:r>
        <w:rPr>
          <w:rFonts w:ascii="Arial" w:hAnsi="Arial" w:cs="Arial"/>
          <w:color w:val="333745"/>
          <w:sz w:val="26"/>
          <w:szCs w:val="26"/>
        </w:rPr>
        <w:t>Rs</w:t>
      </w:r>
      <w:proofErr w:type="spellEnd"/>
      <w:r>
        <w:rPr>
          <w:rFonts w:ascii="Arial" w:hAnsi="Arial" w:cs="Arial"/>
          <w:color w:val="333745"/>
          <w:sz w:val="26"/>
          <w:szCs w:val="26"/>
        </w:rPr>
        <w:t>. 500 within a period of 30 days.</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Documents Required </w:t>
      </w:r>
      <w:proofErr w:type="gramStart"/>
      <w:r>
        <w:rPr>
          <w:rFonts w:ascii="Arial" w:hAnsi="Arial" w:cs="Arial"/>
          <w:color w:val="000000"/>
          <w:sz w:val="33"/>
          <w:szCs w:val="33"/>
        </w:rPr>
        <w:t>For</w:t>
      </w:r>
      <w:proofErr w:type="gramEnd"/>
      <w:r>
        <w:rPr>
          <w:rFonts w:ascii="Arial" w:hAnsi="Arial" w:cs="Arial"/>
          <w:color w:val="000000"/>
          <w:sz w:val="33"/>
          <w:szCs w:val="33"/>
        </w:rPr>
        <w:t xml:space="preserve"> Filing An Appeal Before The Tribunal</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lastRenderedPageBreak/>
        <w:t>Documents required for filing an appeal before the NCLT under section 252 of the Companies Act</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Index of the appeal or petition</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Notice of admission</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Brief synopsis</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Important dates and Events</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Petition or application stating the grounds</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Every Petition shall be verified with an affidavit in the Form No. NCLT 6 and shall be made on a stamp paper of </w:t>
      </w:r>
      <w:proofErr w:type="spellStart"/>
      <w:r>
        <w:rPr>
          <w:rFonts w:ascii="Arial" w:hAnsi="Arial" w:cs="Arial"/>
          <w:color w:val="333745"/>
          <w:sz w:val="26"/>
          <w:szCs w:val="26"/>
        </w:rPr>
        <w:t>Rs</w:t>
      </w:r>
      <w:proofErr w:type="spellEnd"/>
      <w:r>
        <w:rPr>
          <w:rFonts w:ascii="Arial" w:hAnsi="Arial" w:cs="Arial"/>
          <w:color w:val="333745"/>
          <w:sz w:val="26"/>
          <w:szCs w:val="26"/>
        </w:rPr>
        <w:t>. 10.</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The </w:t>
      </w:r>
      <w:proofErr w:type="spellStart"/>
      <w:r>
        <w:rPr>
          <w:rFonts w:ascii="Arial" w:hAnsi="Arial" w:cs="Arial"/>
          <w:color w:val="333745"/>
          <w:sz w:val="26"/>
          <w:szCs w:val="26"/>
        </w:rPr>
        <w:t>authorised</w:t>
      </w:r>
      <w:proofErr w:type="spellEnd"/>
      <w:r>
        <w:rPr>
          <w:rFonts w:ascii="Arial" w:hAnsi="Arial" w:cs="Arial"/>
          <w:color w:val="333745"/>
          <w:sz w:val="26"/>
          <w:szCs w:val="26"/>
        </w:rPr>
        <w:t xml:space="preserve"> representative has to make </w:t>
      </w:r>
      <w:proofErr w:type="spellStart"/>
      <w:r>
        <w:rPr>
          <w:rFonts w:ascii="Arial" w:hAnsi="Arial" w:cs="Arial"/>
          <w:color w:val="333745"/>
          <w:sz w:val="26"/>
          <w:szCs w:val="26"/>
        </w:rPr>
        <w:t>appearnace</w:t>
      </w:r>
      <w:proofErr w:type="spellEnd"/>
      <w:r>
        <w:rPr>
          <w:rFonts w:ascii="Arial" w:hAnsi="Arial" w:cs="Arial"/>
          <w:color w:val="333745"/>
          <w:sz w:val="26"/>
          <w:szCs w:val="26"/>
        </w:rPr>
        <w:t xml:space="preserve"> by filing a </w:t>
      </w:r>
      <w:proofErr w:type="spellStart"/>
      <w:r>
        <w:rPr>
          <w:rFonts w:ascii="Arial" w:hAnsi="Arial" w:cs="Arial"/>
          <w:color w:val="333745"/>
          <w:sz w:val="26"/>
          <w:szCs w:val="26"/>
        </w:rPr>
        <w:t>Vakalatnama</w:t>
      </w:r>
      <w:proofErr w:type="spellEnd"/>
      <w:r>
        <w:rPr>
          <w:rFonts w:ascii="Arial" w:hAnsi="Arial" w:cs="Arial"/>
          <w:color w:val="333745"/>
          <w:sz w:val="26"/>
          <w:szCs w:val="26"/>
        </w:rPr>
        <w:t xml:space="preserve"> or memorandum of </w:t>
      </w:r>
      <w:proofErr w:type="spellStart"/>
      <w:r>
        <w:rPr>
          <w:rFonts w:ascii="Arial" w:hAnsi="Arial" w:cs="Arial"/>
          <w:color w:val="333745"/>
          <w:sz w:val="26"/>
          <w:szCs w:val="26"/>
        </w:rPr>
        <w:t>Appearnacein</w:t>
      </w:r>
      <w:proofErr w:type="spellEnd"/>
      <w:r>
        <w:rPr>
          <w:rFonts w:ascii="Arial" w:hAnsi="Arial" w:cs="Arial"/>
          <w:color w:val="333745"/>
          <w:sz w:val="26"/>
          <w:szCs w:val="26"/>
        </w:rPr>
        <w:t xml:space="preserve"> Form No. NCLT 12.</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Certified copy of the Extract of resolution in </w:t>
      </w:r>
      <w:proofErr w:type="spellStart"/>
      <w:r>
        <w:rPr>
          <w:rFonts w:ascii="Arial" w:hAnsi="Arial" w:cs="Arial"/>
          <w:color w:val="333745"/>
          <w:sz w:val="26"/>
          <w:szCs w:val="26"/>
        </w:rPr>
        <w:t>favour</w:t>
      </w:r>
      <w:proofErr w:type="spellEnd"/>
      <w:r>
        <w:rPr>
          <w:rFonts w:ascii="Arial" w:hAnsi="Arial" w:cs="Arial"/>
          <w:color w:val="333745"/>
          <w:sz w:val="26"/>
          <w:szCs w:val="26"/>
        </w:rPr>
        <w:t xml:space="preserve"> of the </w:t>
      </w:r>
      <w:proofErr w:type="spellStart"/>
      <w:r>
        <w:rPr>
          <w:rFonts w:ascii="Arial" w:hAnsi="Arial" w:cs="Arial"/>
          <w:color w:val="333745"/>
          <w:sz w:val="26"/>
          <w:szCs w:val="26"/>
        </w:rPr>
        <w:t>Authorised</w:t>
      </w:r>
      <w:proofErr w:type="spellEnd"/>
      <w:r>
        <w:rPr>
          <w:rFonts w:ascii="Arial" w:hAnsi="Arial" w:cs="Arial"/>
          <w:color w:val="333745"/>
          <w:sz w:val="26"/>
          <w:szCs w:val="26"/>
        </w:rPr>
        <w:t xml:space="preserve"> Signatory/</w:t>
      </w:r>
      <w:proofErr w:type="spellStart"/>
      <w:r>
        <w:rPr>
          <w:rFonts w:ascii="Arial" w:hAnsi="Arial" w:cs="Arial"/>
          <w:color w:val="333745"/>
          <w:sz w:val="26"/>
          <w:szCs w:val="26"/>
        </w:rPr>
        <w:t>Authorised</w:t>
      </w:r>
      <w:proofErr w:type="spellEnd"/>
      <w:r>
        <w:rPr>
          <w:rFonts w:ascii="Arial" w:hAnsi="Arial" w:cs="Arial"/>
          <w:color w:val="333745"/>
          <w:sz w:val="26"/>
          <w:szCs w:val="26"/>
        </w:rPr>
        <w:t xml:space="preserve"> Representative</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Power of Attorney</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Master data of the company</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Audited financial records of the company filing the petition for the defaulted period</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Certificate of </w:t>
      </w:r>
      <w:proofErr w:type="spellStart"/>
      <w:r>
        <w:rPr>
          <w:rFonts w:ascii="Arial" w:hAnsi="Arial" w:cs="Arial"/>
          <w:color w:val="333745"/>
          <w:sz w:val="26"/>
          <w:szCs w:val="26"/>
        </w:rPr>
        <w:t>Incorporatio</w:t>
      </w:r>
      <w:proofErr w:type="spellEnd"/>
      <w:r>
        <w:rPr>
          <w:rFonts w:ascii="Arial" w:hAnsi="Arial" w:cs="Arial"/>
          <w:color w:val="333745"/>
          <w:sz w:val="26"/>
          <w:szCs w:val="26"/>
        </w:rPr>
        <w:t>, Memorandum and AOA</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Notices of ROC to concerned company.</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 xml:space="preserve">demand draft </w:t>
      </w:r>
      <w:proofErr w:type="spellStart"/>
      <w:r>
        <w:rPr>
          <w:rFonts w:ascii="Arial" w:hAnsi="Arial" w:cs="Arial"/>
          <w:color w:val="333745"/>
          <w:sz w:val="26"/>
          <w:szCs w:val="26"/>
        </w:rPr>
        <w:t>ofstatutory</w:t>
      </w:r>
      <w:proofErr w:type="spellEnd"/>
      <w:r>
        <w:rPr>
          <w:rFonts w:ascii="Arial" w:hAnsi="Arial" w:cs="Arial"/>
          <w:color w:val="333745"/>
          <w:sz w:val="26"/>
          <w:szCs w:val="26"/>
        </w:rPr>
        <w:t xml:space="preserve"> fees</w:t>
      </w:r>
    </w:p>
    <w:p w:rsidR="00016835" w:rsidRDefault="00016835" w:rsidP="00016835">
      <w:pPr>
        <w:numPr>
          <w:ilvl w:val="0"/>
          <w:numId w:val="6"/>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Any other document like ITR, VAT, bank statement or other documents which prove company was operational</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Filing </w:t>
      </w:r>
      <w:proofErr w:type="gramStart"/>
      <w:r>
        <w:rPr>
          <w:rFonts w:ascii="Arial" w:hAnsi="Arial" w:cs="Arial"/>
          <w:color w:val="000000"/>
          <w:sz w:val="33"/>
          <w:szCs w:val="33"/>
        </w:rPr>
        <w:t>An</w:t>
      </w:r>
      <w:proofErr w:type="gramEnd"/>
      <w:r>
        <w:rPr>
          <w:rFonts w:ascii="Arial" w:hAnsi="Arial" w:cs="Arial"/>
          <w:color w:val="000000"/>
          <w:sz w:val="33"/>
          <w:szCs w:val="33"/>
        </w:rPr>
        <w:t xml:space="preserve"> Appeal In NCLT With </w:t>
      </w:r>
      <w:proofErr w:type="spellStart"/>
      <w:r>
        <w:rPr>
          <w:rFonts w:ascii="Arial" w:hAnsi="Arial" w:cs="Arial"/>
          <w:color w:val="000000"/>
          <w:sz w:val="33"/>
          <w:szCs w:val="33"/>
        </w:rPr>
        <w:t>LawyerINC</w:t>
      </w:r>
      <w:proofErr w:type="spellEnd"/>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Once you post a query, our representative will get back to you and a lawyer will be assigned to your case</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Our Lawyer will contact you and explain the whole procedure and will understand the details of your case</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Once the objectives are set forth, the lawyer shall draft an appeal</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Once an appeal is drafted, it will be filed in The NCLT.</w:t>
      </w:r>
    </w:p>
    <w:p w:rsidR="00016835" w:rsidRDefault="00016835" w:rsidP="00016835">
      <w:pPr>
        <w:pStyle w:val="NormalWeb"/>
        <w:shd w:val="clear" w:color="auto" w:fill="FFFFFF"/>
        <w:spacing w:before="0" w:beforeAutospacing="0"/>
        <w:rPr>
          <w:rFonts w:ascii="Arial" w:hAnsi="Arial" w:cs="Arial"/>
          <w:color w:val="000000"/>
          <w:sz w:val="26"/>
          <w:szCs w:val="26"/>
        </w:rPr>
      </w:pPr>
      <w:r>
        <w:rPr>
          <w:rFonts w:ascii="Arial" w:hAnsi="Arial" w:cs="Arial"/>
          <w:color w:val="000000"/>
          <w:sz w:val="26"/>
          <w:szCs w:val="26"/>
        </w:rPr>
        <w:t>The Legal proceedings will be initiated.</w:t>
      </w:r>
    </w:p>
    <w:p w:rsidR="00016835" w:rsidRDefault="00016835" w:rsidP="00016835">
      <w:pPr>
        <w:pStyle w:val="Heading2"/>
        <w:shd w:val="clear" w:color="auto" w:fill="FFFFFF"/>
        <w:spacing w:before="0" w:beforeAutospacing="0"/>
        <w:rPr>
          <w:rFonts w:ascii="Arial" w:hAnsi="Arial" w:cs="Arial"/>
          <w:color w:val="000000"/>
          <w:sz w:val="33"/>
          <w:szCs w:val="33"/>
        </w:rPr>
      </w:pPr>
      <w:r>
        <w:rPr>
          <w:rFonts w:ascii="Arial" w:hAnsi="Arial" w:cs="Arial"/>
          <w:color w:val="000000"/>
          <w:sz w:val="33"/>
          <w:szCs w:val="33"/>
        </w:rPr>
        <w:t xml:space="preserve">Why Choose </w:t>
      </w:r>
      <w:proofErr w:type="spellStart"/>
      <w:r>
        <w:rPr>
          <w:rFonts w:ascii="Arial" w:hAnsi="Arial" w:cs="Arial"/>
          <w:color w:val="000000"/>
          <w:sz w:val="33"/>
          <w:szCs w:val="33"/>
        </w:rPr>
        <w:t>LawyerINC</w:t>
      </w:r>
      <w:proofErr w:type="spellEnd"/>
      <w:r>
        <w:rPr>
          <w:rFonts w:ascii="Arial" w:hAnsi="Arial" w:cs="Arial"/>
          <w:color w:val="000000"/>
          <w:sz w:val="33"/>
          <w:szCs w:val="33"/>
        </w:rPr>
        <w:t>?</w:t>
      </w:r>
    </w:p>
    <w:p w:rsidR="00016835" w:rsidRDefault="00016835" w:rsidP="00016835">
      <w:pPr>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Free consultation for Enquiry</w:t>
      </w:r>
    </w:p>
    <w:p w:rsidR="00016835" w:rsidRDefault="00016835" w:rsidP="00016835">
      <w:pPr>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Renounced Legal Experts at your reach</w:t>
      </w:r>
    </w:p>
    <w:p w:rsidR="00016835" w:rsidRDefault="00016835" w:rsidP="00016835">
      <w:pPr>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End to End services</w:t>
      </w:r>
    </w:p>
    <w:p w:rsidR="00016835" w:rsidRDefault="00016835" w:rsidP="00016835">
      <w:pPr>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lastRenderedPageBreak/>
        <w:t>Assistance in filing the appeal in the National Company Law Tribunal</w:t>
      </w:r>
    </w:p>
    <w:p w:rsidR="00016835" w:rsidRDefault="00016835" w:rsidP="00016835">
      <w:pPr>
        <w:numPr>
          <w:ilvl w:val="0"/>
          <w:numId w:val="7"/>
        </w:numPr>
        <w:shd w:val="clear" w:color="auto" w:fill="FFFFFF"/>
        <w:spacing w:before="100" w:beforeAutospacing="1" w:after="100" w:afterAutospacing="1" w:line="240" w:lineRule="auto"/>
        <w:jc w:val="both"/>
        <w:rPr>
          <w:rFonts w:ascii="Arial" w:hAnsi="Arial" w:cs="Arial"/>
          <w:color w:val="333745"/>
          <w:sz w:val="26"/>
          <w:szCs w:val="26"/>
        </w:rPr>
      </w:pPr>
      <w:r>
        <w:rPr>
          <w:rFonts w:ascii="Arial" w:hAnsi="Arial" w:cs="Arial"/>
          <w:color w:val="333745"/>
          <w:sz w:val="26"/>
          <w:szCs w:val="26"/>
        </w:rPr>
        <w:t>We'll provide ongoing support and we'll be available at your service throughout the case.</w:t>
      </w:r>
    </w:p>
    <w:p w:rsidR="00016835" w:rsidRDefault="00016835" w:rsidP="00016835">
      <w:pPr>
        <w:jc w:val="both"/>
        <w:rPr>
          <w:rFonts w:ascii="Arial" w:hAnsi="Arial" w:cs="Arial"/>
          <w:sz w:val="28"/>
        </w:rPr>
      </w:pPr>
    </w:p>
    <w:p w:rsidR="00016835" w:rsidRDefault="00016835" w:rsidP="00016835">
      <w:pPr>
        <w:jc w:val="both"/>
      </w:pPr>
      <w:r>
        <w:t>ADVOCACY &amp; APPEARANCE • Art of conducting cases in Court both by Arguments and by the manner of bringing out the evidence so as to convince the Court. • Advocacy is an Art of persuasion or an Art of convincing others. • Advocacy is a process and not an event. • The art of advocacy is not a casual or artificial exercise. It is the result of hours of hard work and research. If you want to argue for 15 minutes in the court, it will require at least 5 hours of preparation. Please do not carry the impression that advocacy means only the gift of the gab. The gift of the gab is only part of it. But it is the mastery acquired by you over the facts and the law that will keep you in good stead before the court.</w:t>
      </w:r>
    </w:p>
    <w:p w:rsidR="00016835" w:rsidRDefault="00016835" w:rsidP="00016835">
      <w:pPr>
        <w:jc w:val="both"/>
      </w:pPr>
      <w:r>
        <w:t xml:space="preserve">THINGS TO DO FOR GOOD ADVOCACY • Good voice • Command of words • Confidence • Persistence • Knowledge of law • Experience • Appearance- must look neat and tidy • Speak clearly • Keep your papers and document in good order. • Punctual, do not rush. • Equal approach either big case or small case • As a general rule brevity in a speech of any sort is a great virtue. • Begin the speech by introducing the parties to the dispute followed by statement of the points at </w:t>
      </w:r>
      <w:proofErr w:type="gramStart"/>
      <w:r>
        <w:t>issue..</w:t>
      </w:r>
      <w:proofErr w:type="gramEnd"/>
      <w:r>
        <w:t xml:space="preserve"> Words that simply child can understand. • Explain the detailed facts in </w:t>
      </w:r>
      <w:proofErr w:type="gramStart"/>
      <w:r>
        <w:t>dispute..</w:t>
      </w:r>
      <w:proofErr w:type="gramEnd"/>
      <w:r>
        <w:t xml:space="preserve"> Make sure you understand it </w:t>
      </w:r>
      <w:proofErr w:type="gramStart"/>
      <w:r>
        <w:t>firmly..</w:t>
      </w:r>
      <w:proofErr w:type="gramEnd"/>
      <w:r>
        <w:t xml:space="preserve"> Strive for accurate statement of fact. • Deal with opponent's argument point by point. • Don't be sycophantic but be polite and respect the court. • Don't speak too fast and never express your </w:t>
      </w:r>
      <w:proofErr w:type="gramStart"/>
      <w:r>
        <w:t>opinion..</w:t>
      </w:r>
      <w:proofErr w:type="gramEnd"/>
      <w:r>
        <w:t xml:space="preserve"> KEY POINTS OF ADVOCACY • Develop a checklist • Develop a structure. • Look at previous similar cases and their determination. Precedents have a lot of value. • Introduce subject, give background and facts, analysis of law, application of law, grounds for your case and prayer for relief. • Study facts and documents carefully. Do not miss any important aspects as the first chance is usually the last chance. • Make a clear brief on law and evidence. Keep focus of main issues &amp; results to be achieved • Avoid frequent interruptions or objections. Wait for your chance. • Do not argue with the Judges. Explain with reason. Focus on winning war nor battles. • Co-operate with Opposite Counsel/Representative… The “Learned Friend”</w:t>
      </w:r>
      <w:r w:rsidRPr="00016835">
        <w:t xml:space="preserve"> </w:t>
      </w:r>
      <w:r>
        <w:t xml:space="preserve">PREPARATION OF THE CASE • It is essential to have a thorough knowledge of the law and procedure. • Q-What has to be proved or disproved? • How is your case to be approved and your opponents’ disapproved? • Researching the law which applies to the </w:t>
      </w:r>
      <w:proofErr w:type="gramStart"/>
      <w:r>
        <w:t>case..</w:t>
      </w:r>
      <w:proofErr w:type="gramEnd"/>
      <w:r>
        <w:t xml:space="preserve"> Read reported </w:t>
      </w:r>
      <w:proofErr w:type="gramStart"/>
      <w:r>
        <w:t>cases..</w:t>
      </w:r>
      <w:proofErr w:type="gramEnd"/>
      <w:r>
        <w:t xml:space="preserve"> • Documentary evidence is very important. • Inspection of </w:t>
      </w:r>
      <w:proofErr w:type="gramStart"/>
      <w:r>
        <w:t>document..</w:t>
      </w:r>
      <w:proofErr w:type="gramEnd"/>
      <w:r>
        <w:t xml:space="preserve"> Client must make full </w:t>
      </w:r>
      <w:proofErr w:type="gramStart"/>
      <w:r>
        <w:t>disclosure..</w:t>
      </w:r>
      <w:proofErr w:type="gramEnd"/>
      <w:r>
        <w:t xml:space="preserve"> • Make copies of those documents and peruse all of </w:t>
      </w:r>
      <w:proofErr w:type="gramStart"/>
      <w:r>
        <w:t>them..</w:t>
      </w:r>
      <w:proofErr w:type="gramEnd"/>
      <w:r>
        <w:t xml:space="preserve"> • Try to prevent any element of </w:t>
      </w:r>
      <w:proofErr w:type="gramStart"/>
      <w:r>
        <w:t>surprise..</w:t>
      </w:r>
      <w:proofErr w:type="gramEnd"/>
      <w:r>
        <w:t xml:space="preserve"> • Preparation and presentation depends on the </w:t>
      </w:r>
      <w:proofErr w:type="gramStart"/>
      <w:r>
        <w:t>orderliness..</w:t>
      </w:r>
      <w:proofErr w:type="gramEnd"/>
      <w:r>
        <w:t xml:space="preserve"> Keep your court papers in good order or in chronological </w:t>
      </w:r>
      <w:proofErr w:type="gramStart"/>
      <w:r>
        <w:t>order..</w:t>
      </w:r>
      <w:proofErr w:type="gramEnd"/>
      <w:r>
        <w:t xml:space="preserve"> Page </w:t>
      </w:r>
      <w:proofErr w:type="gramStart"/>
      <w:r>
        <w:t>numbers..</w:t>
      </w:r>
      <w:proofErr w:type="gramEnd"/>
      <w:r>
        <w:t xml:space="preserve"> • Prepare a bundle of </w:t>
      </w:r>
      <w:proofErr w:type="gramStart"/>
      <w:r>
        <w:t>documents..</w:t>
      </w:r>
      <w:proofErr w:type="gramEnd"/>
      <w:r>
        <w:t xml:space="preserve"> Make sure it is not too thick or </w:t>
      </w:r>
      <w:proofErr w:type="gramStart"/>
      <w:r>
        <w:t>large..</w:t>
      </w:r>
      <w:proofErr w:type="gramEnd"/>
      <w:r>
        <w:t xml:space="preserve"> • Labeling the </w:t>
      </w:r>
      <w:proofErr w:type="gramStart"/>
      <w:r>
        <w:t>documents..</w:t>
      </w:r>
      <w:proofErr w:type="gramEnd"/>
      <w:r>
        <w:t xml:space="preserve"> • Having clear and detailed knowledge of how you intend to present the case at the time when do your </w:t>
      </w:r>
      <w:proofErr w:type="gramStart"/>
      <w:r>
        <w:t>pleadings..</w:t>
      </w:r>
      <w:proofErr w:type="gramEnd"/>
      <w:r>
        <w:t xml:space="preserve"> • General principle, when making allegations we should pile up as many facts which lead to the conclusion of the arguments</w:t>
      </w:r>
    </w:p>
    <w:p w:rsidR="00016835" w:rsidRDefault="00016835" w:rsidP="00016835">
      <w:pPr>
        <w:jc w:val="both"/>
      </w:pPr>
    </w:p>
    <w:p w:rsidR="00016835" w:rsidRDefault="00016835" w:rsidP="00016835">
      <w:pPr>
        <w:jc w:val="both"/>
      </w:pPr>
    </w:p>
    <w:p w:rsidR="00016835" w:rsidRDefault="00016835" w:rsidP="00016835">
      <w:pPr>
        <w:jc w:val="both"/>
      </w:pPr>
      <w:r>
        <w:t xml:space="preserve">FORM NO. NCLT. 12 (see rule 45) Memorandum of appearance To The Registrar, National Company Law Tribunal . . . . . . </w:t>
      </w:r>
      <w:proofErr w:type="gramStart"/>
      <w:r>
        <w:t>. . . .</w:t>
      </w:r>
      <w:proofErr w:type="gramEnd"/>
      <w:r>
        <w:t xml:space="preserve"> Bench, In the matter of . . . . . . </w:t>
      </w:r>
      <w:proofErr w:type="gramStart"/>
      <w:r>
        <w:t>. . . .</w:t>
      </w:r>
      <w:proofErr w:type="gramEnd"/>
      <w:r>
        <w:t xml:space="preserve"> Petitioner. V. . . . . . . </w:t>
      </w:r>
      <w:proofErr w:type="gramStart"/>
      <w:r>
        <w:t>. . . .</w:t>
      </w:r>
      <w:proofErr w:type="gramEnd"/>
      <w:r>
        <w:t xml:space="preserve"> Respondent (C.P. NO . . . . . . </w:t>
      </w:r>
      <w:proofErr w:type="gramStart"/>
      <w:r>
        <w:t>. . . .</w:t>
      </w:r>
      <w:proofErr w:type="gramEnd"/>
      <w:r>
        <w:t xml:space="preserve"> of 20 . . . . . . </w:t>
      </w:r>
      <w:proofErr w:type="gramStart"/>
      <w:r>
        <w:t>. . . .</w:t>
      </w:r>
      <w:proofErr w:type="gramEnd"/>
      <w:r>
        <w:t xml:space="preserve"> ) Sir, Please take notice that I, AB, Company Secretary in practice/ </w:t>
      </w:r>
      <w:proofErr w:type="spellStart"/>
      <w:r>
        <w:t>practising</w:t>
      </w:r>
      <w:proofErr w:type="spellEnd"/>
      <w:r>
        <w:t xml:space="preserve"> </w:t>
      </w:r>
      <w:r>
        <w:lastRenderedPageBreak/>
        <w:t xml:space="preserve">Chartered Accountant/ </w:t>
      </w:r>
      <w:proofErr w:type="spellStart"/>
      <w:r>
        <w:t>practising</w:t>
      </w:r>
      <w:proofErr w:type="spellEnd"/>
      <w:r>
        <w:t xml:space="preserve"> Cost Accountant, duly </w:t>
      </w:r>
      <w:proofErr w:type="spellStart"/>
      <w:r>
        <w:t>authorised</w:t>
      </w:r>
      <w:proofErr w:type="spellEnd"/>
      <w:r>
        <w:t xml:space="preserve"> to enter appearance, and do hereby enter appearance, on behalf of . . . . . . </w:t>
      </w:r>
      <w:proofErr w:type="gramStart"/>
      <w:r>
        <w:t>. . . .</w:t>
      </w:r>
      <w:proofErr w:type="gramEnd"/>
      <w:r>
        <w:t xml:space="preserve"> petitioner/ opposite party/ Registrar/ Regional Director/ Government of . . . . . . </w:t>
      </w:r>
      <w:proofErr w:type="gramStart"/>
      <w:r>
        <w:t>. . . .</w:t>
      </w:r>
      <w:proofErr w:type="gramEnd"/>
      <w:r>
        <w:t xml:space="preserve"> in the above-mentioned petition. *A copy of the resolution passed by the Board of Directors </w:t>
      </w:r>
      <w:proofErr w:type="spellStart"/>
      <w:r>
        <w:t>authorising</w:t>
      </w:r>
      <w:proofErr w:type="spellEnd"/>
      <w:r>
        <w:t xml:space="preserve"> me to enter appearance and to act for every purpose connected with the proceedings for the said party is enclosed, duly signed by me for identification. Yours sincerely, Dated . . . . . . </w:t>
      </w:r>
      <w:proofErr w:type="gramStart"/>
      <w:r>
        <w:t>. . . .</w:t>
      </w:r>
      <w:proofErr w:type="gramEnd"/>
      <w:r>
        <w:t xml:space="preserve"> day of . . . . . . </w:t>
      </w:r>
      <w:proofErr w:type="gramStart"/>
      <w:r>
        <w:t>. . . .</w:t>
      </w:r>
      <w:proofErr w:type="gramEnd"/>
      <w:r>
        <w:t xml:space="preserve"> Address: Enclosure: as aforesaid Tele No.:</w:t>
      </w:r>
    </w:p>
    <w:p w:rsidR="00016835" w:rsidRDefault="00016835" w:rsidP="00016835">
      <w:pPr>
        <w:jc w:val="both"/>
      </w:pPr>
    </w:p>
    <w:p w:rsidR="00016835" w:rsidRDefault="00016835" w:rsidP="00016835">
      <w:pPr>
        <w:jc w:val="both"/>
      </w:pPr>
    </w:p>
    <w:p w:rsidR="00016835" w:rsidRDefault="00016835" w:rsidP="00016835">
      <w:pPr>
        <w:jc w:val="both"/>
      </w:pPr>
      <w:r>
        <w:t xml:space="preserve">IN THE NATIONAL COMPANY LAW TRIBUNAL MUMBAI BENCH COURT - IV 21 MA 3537 IN C.P 4719(MB)/2018 </w:t>
      </w:r>
      <w:proofErr w:type="gramStart"/>
      <w:r>
        <w:t>CORAM :</w:t>
      </w:r>
      <w:proofErr w:type="gramEnd"/>
      <w:r>
        <w:t xml:space="preserve"> SHRI RAJASEKHAR V.K. MEMBER (J) SHRI RAVIKUMAR DURAISAMY MEMBER (T) ORDER SHEET OF THE HEARING HELD ON 29.11.2019 Name of the Parties: Hemant Prakash S. Jain SECTION 19(2) OF THE INSOLVENCY &amp; BANKRUPTCY CODE, 2016 ORDER 1. This is a Miscellaneous Application bearing No. 3537/2019 in CP(IB)- 4719(MB)/2018 filed under section 19(2) of the IBC, 2016 by Mr. </w:t>
      </w:r>
      <w:proofErr w:type="spellStart"/>
      <w:r>
        <w:t>Hemantprakash</w:t>
      </w:r>
      <w:proofErr w:type="spellEnd"/>
      <w:r>
        <w:t xml:space="preserve"> S. Jain, IRP appointed in the matter of A R Coating Solutions (India) Pvt. Ltd., the Corporate Debtor as Respondent No. 1, and Mr. </w:t>
      </w:r>
      <w:proofErr w:type="spellStart"/>
      <w:r>
        <w:t>Ramreddy</w:t>
      </w:r>
      <w:proofErr w:type="spellEnd"/>
      <w:r>
        <w:t xml:space="preserve"> </w:t>
      </w:r>
      <w:proofErr w:type="spellStart"/>
      <w:r>
        <w:t>Dnyandevreddy</w:t>
      </w:r>
      <w:proofErr w:type="spellEnd"/>
      <w:r>
        <w:t xml:space="preserve"> </w:t>
      </w:r>
      <w:proofErr w:type="spellStart"/>
      <w:r>
        <w:t>Macchapalle</w:t>
      </w:r>
      <w:proofErr w:type="spellEnd"/>
      <w:r>
        <w:t xml:space="preserve"> as Respondent No.2 and Ms. Asha Ram Reddy as Respondent No.3, the directors of the Corporate Debtor. In this MA, the prayer sought is that the Hon’ble Tribunal be pleased to issue appropriate directions to the directors and the management of the Corporate Debtor for extending full co-operation and providing all necessary assistance. Further, another prayer was also sought to issue direction to the directors and the management (Respondent No. 2 &amp; 3) of the Corporate Debtor forthwith to provide/hand over all the Information including Books of Account/Bank Account and all other relevant documents from the Corporate Debtor to the Petitioner viz. Hemant Prakash S Jain, IRP in this matter. 2. When the matter was heard today, Ld. Counsel for the IRP and the IRP in person are present and explained the situation prevailing in the Corporate Debtor and insisted for reliefs as per the prayers sought in this Miscellaneous Application. Having considered the facts and circumstances, the situation and the prayer sought by the IRP, the Bench is satisfied with the submissions made by the Applicant on the prayers that Directors and the management of the Corporate Debtor to extent full co-operation, provide necessary assistance and the information to the Petitioner. By exercising the power U/s 19(2) of the IB Code. We hereby direct the Directors, Promotors and management of the Corporate Debtor to forthwith extend full co-operation, provide all assistance and hand over all the Information including Books of Account/Bank Account and all other relevant documents of the Corporate Debtor to the IRP to effectively complete the Corporate Insolvency Resolution Process. 3. Further, the Bench also directs the Promoters(s), Director(s) and one of the Senior Managers of the Corporate Debtor to be present in person on the next date of hearing. List this matter on 17.12.2019 for compliance of the directions issued by this Bench. </w:t>
      </w:r>
      <w:proofErr w:type="spellStart"/>
      <w:r>
        <w:t>Sd</w:t>
      </w:r>
      <w:proofErr w:type="spellEnd"/>
      <w:r>
        <w:t xml:space="preserve">/- </w:t>
      </w:r>
      <w:proofErr w:type="spellStart"/>
      <w:r>
        <w:t>Sd</w:t>
      </w:r>
      <w:proofErr w:type="spellEnd"/>
      <w:r>
        <w:t>/- RAVIKUMAR DURAISAMY RAJASEKHAR V.K. Member (Technical) Member (Judicial) 29.11.2019/</w:t>
      </w:r>
      <w:proofErr w:type="spellStart"/>
      <w:r>
        <w:t>svr</w:t>
      </w:r>
      <w:proofErr w:type="spellEnd"/>
    </w:p>
    <w:p w:rsidR="005034B2" w:rsidRDefault="005034B2" w:rsidP="00016835">
      <w:pPr>
        <w:jc w:val="both"/>
      </w:pPr>
    </w:p>
    <w:p w:rsidR="005034B2" w:rsidRDefault="005034B2" w:rsidP="00016835">
      <w:pPr>
        <w:jc w:val="both"/>
      </w:pPr>
    </w:p>
    <w:p w:rsidR="005034B2" w:rsidRPr="00016835" w:rsidRDefault="005034B2" w:rsidP="00016835">
      <w:pPr>
        <w:jc w:val="both"/>
        <w:rPr>
          <w:rFonts w:ascii="Arial" w:hAnsi="Arial" w:cs="Arial"/>
          <w:sz w:val="28"/>
        </w:rPr>
      </w:pPr>
      <w:r>
        <w:t xml:space="preserve">FORM NO. NCLT. 2 [See rule 34] BEFORE THE NATIONAL COMPANY LAW TRIBUNAL . . . . . . </w:t>
      </w:r>
      <w:proofErr w:type="gramStart"/>
      <w:r>
        <w:t>. . . .</w:t>
      </w:r>
      <w:proofErr w:type="gramEnd"/>
      <w:r>
        <w:t xml:space="preserve"> . </w:t>
      </w:r>
      <w:proofErr w:type="gramStart"/>
      <w:r>
        <w:t>BENCH :</w:t>
      </w:r>
      <w:proofErr w:type="gramEnd"/>
      <w:r>
        <w:t xml:space="preserve"> . . . . . . . NOTICE OF ADMISSION Date: . . . . . . . . . . . . . . . . . . </w:t>
      </w:r>
      <w:proofErr w:type="gramStart"/>
      <w:r>
        <w:t>. . . .</w:t>
      </w:r>
      <w:proofErr w:type="gramEnd"/>
      <w:r>
        <w:t xml:space="preserve"> From: . . . . . . . . . . . . . . . . . . </w:t>
      </w:r>
      <w:proofErr w:type="gramStart"/>
      <w:r>
        <w:t>. . . .</w:t>
      </w:r>
      <w:proofErr w:type="gramEnd"/>
      <w:r>
        <w:t xml:space="preserve"> (Insert name of party filing the Admission) </w:t>
      </w:r>
      <w:proofErr w:type="gramStart"/>
      <w:r>
        <w:t>To :</w:t>
      </w:r>
      <w:proofErr w:type="gramEnd"/>
      <w:r>
        <w:t xml:space="preserve"> The Registrar, NCLT ( . . . . . . . . . . . . . . . . . . . . . . Bench). ... Applicant. - Vs- ... Respondent. The Party named above requests that the Tribunal grant the following relief: . . . . . . . </w:t>
      </w:r>
      <w:r>
        <w:lastRenderedPageBreak/>
        <w:t xml:space="preserve">. . . . . . . . . . . . . . . . . . . . . . . . . . . . . . . . . . . . . . . . . . . . . . . . . . . . . . . . . . . . . . . . . . . . . . . . . . . . . . . . . . . . . . . . . . . . . . . . . . . . . . . . (Insert the relief or order sought) In terms of . . . . . . . . . . . . . . . . . . . . . . . . . . . . . . . . . . . . . . . . . . . . . . . . . . . . . . . . . . . . . . . . . . . . . . . . . . . . . . . . . . . . . . . . . . . . . . . . . . . . . . . . . . . . . . . (Insert the section of the Act, or the Rules/Regulation, that provides for the order or relief sought) For the following reasons: (Insert a concise statement of the circumstances, and the particulars of the request) In support of this Application, the applicant has attached an affidavit setting out the facts on which the Applicant relies. Name and Title of person signing on behalf of Applicant: . . . . . . . . . . . . . . . . . . . . . . . . . . . . . . . . . . . . . . . . . . . . . . . . . . . . . . . . . . . . . . . . . . . . . . . . . . . . . . . . . . . . . . . . . . . . . . . . . . . . . . . . . . . . . . . </w:t>
      </w:r>
      <w:proofErr w:type="spellStart"/>
      <w:r>
        <w:t>Authorised</w:t>
      </w:r>
      <w:proofErr w:type="spellEnd"/>
      <w:r>
        <w:t xml:space="preserve"> Signature and Address: . . . . . . . . . . . . . . . . . . . . . . . . . . . . . . . . . . . . . . . . . . . . . . . . . . . . . . . . . . . . . . . . . . . . . . . . . . . . . . . . . . . . . . . . . . . . . . . . . . . . . . . . . . . . . . . . . . . . . . . . . . . . . . . . . . . . . . . . . . . . . . . . . . . . . . . . . . . . . . . . . . . . . . . . . . . . . . . . . . . . . . . . . . . . . . . . . . . . . . . . . . . . . . . . . . . . . . . . . . . . . . Tel No. Fax No. e-mail: This form is prescribed under Rule under . . . . . . . NCLT Rules, 2016. For </w:t>
      </w:r>
      <w:proofErr w:type="gramStart"/>
      <w:r>
        <w:t>rehabilitation :</w:t>
      </w:r>
      <w:proofErr w:type="gramEnd"/>
      <w:r>
        <w:t xml:space="preserve"> Rehab. Petition No. Transfer Petition </w:t>
      </w:r>
      <w:proofErr w:type="gramStart"/>
      <w:r>
        <w:t>For</w:t>
      </w:r>
      <w:proofErr w:type="gramEnd"/>
      <w:r>
        <w:t xml:space="preserve"> Transferred. (CLB/BIFR/</w:t>
      </w:r>
      <w:proofErr w:type="spellStart"/>
      <w:r>
        <w:t>AIFp</w:t>
      </w:r>
      <w:proofErr w:type="spellEnd"/>
      <w:r>
        <w:t>/HHC) No (</w:t>
      </w:r>
      <w:proofErr w:type="spellStart"/>
      <w:r>
        <w:t>CP.</w:t>
      </w:r>
      <w:proofErr w:type="gramStart"/>
      <w:r>
        <w:t>No.OR</w:t>
      </w:r>
      <w:proofErr w:type="spellEnd"/>
      <w:proofErr w:type="gramEnd"/>
      <w:r>
        <w:t xml:space="preserve"> . . . . . . . . . . . . . . ) Matters from </w:t>
      </w:r>
      <w:proofErr w:type="gramStart"/>
      <w:r>
        <w:t>the :</w:t>
      </w:r>
      <w:proofErr w:type="gramEnd"/>
      <w:r>
        <w:t xml:space="preserve"> CLB/BIFR/AIFR/HHC For Other matters : Company Petition No.</w:t>
      </w:r>
      <w:bookmarkStart w:id="0" w:name="_GoBack"/>
      <w:bookmarkEnd w:id="0"/>
    </w:p>
    <w:p w:rsidR="00CD0C62" w:rsidRPr="00016835" w:rsidRDefault="00CD0C62" w:rsidP="00016835">
      <w:pPr>
        <w:jc w:val="both"/>
        <w:rPr>
          <w:rFonts w:ascii="Arial" w:hAnsi="Arial" w:cs="Arial"/>
          <w:sz w:val="28"/>
        </w:rPr>
      </w:pPr>
    </w:p>
    <w:sectPr w:rsidR="00CD0C62" w:rsidRPr="00016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589C"/>
    <w:multiLevelType w:val="multilevel"/>
    <w:tmpl w:val="66CA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C7DCC"/>
    <w:multiLevelType w:val="multilevel"/>
    <w:tmpl w:val="B198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4425C"/>
    <w:multiLevelType w:val="multilevel"/>
    <w:tmpl w:val="209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E1B22"/>
    <w:multiLevelType w:val="multilevel"/>
    <w:tmpl w:val="38B0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11129"/>
    <w:multiLevelType w:val="multilevel"/>
    <w:tmpl w:val="F05A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C73974"/>
    <w:multiLevelType w:val="multilevel"/>
    <w:tmpl w:val="BAF6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50BCA"/>
    <w:multiLevelType w:val="multilevel"/>
    <w:tmpl w:val="FDF2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35"/>
    <w:rsid w:val="00016835"/>
    <w:rsid w:val="005034B2"/>
    <w:rsid w:val="00CD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68A18"/>
  <w15:chartTrackingRefBased/>
  <w15:docId w15:val="{1FB222E1-892E-4064-8E31-58433FA9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8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168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168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83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6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6835"/>
  </w:style>
  <w:style w:type="character" w:styleId="Hyperlink">
    <w:name w:val="Hyperlink"/>
    <w:basedOn w:val="DefaultParagraphFont"/>
    <w:uiPriority w:val="99"/>
    <w:semiHidden/>
    <w:unhideWhenUsed/>
    <w:rsid w:val="00016835"/>
    <w:rPr>
      <w:color w:val="0000FF"/>
      <w:u w:val="single"/>
    </w:rPr>
  </w:style>
  <w:style w:type="character" w:customStyle="1" w:styleId="Heading1Char">
    <w:name w:val="Heading 1 Char"/>
    <w:basedOn w:val="DefaultParagraphFont"/>
    <w:link w:val="Heading1"/>
    <w:uiPriority w:val="9"/>
    <w:rsid w:val="0001683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1683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7">
      <w:bodyDiv w:val="1"/>
      <w:marLeft w:val="0"/>
      <w:marRight w:val="0"/>
      <w:marTop w:val="0"/>
      <w:marBottom w:val="0"/>
      <w:divBdr>
        <w:top w:val="none" w:sz="0" w:space="0" w:color="auto"/>
        <w:left w:val="none" w:sz="0" w:space="0" w:color="auto"/>
        <w:bottom w:val="none" w:sz="0" w:space="0" w:color="auto"/>
        <w:right w:val="none" w:sz="0" w:space="0" w:color="auto"/>
      </w:divBdr>
    </w:div>
    <w:div w:id="67333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2021-03-09T15:20:00Z</dcterms:created>
  <dcterms:modified xsi:type="dcterms:W3CDTF">2021-03-09T15:32:00Z</dcterms:modified>
</cp:coreProperties>
</file>